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8364" w14:textId="77777777" w:rsidR="00F92B2D" w:rsidRDefault="003F43D1">
      <w:pPr>
        <w:spacing w:line="400" w:lineRule="exact"/>
        <w:ind w:right="1120"/>
        <w:rPr>
          <w:rFonts w:ascii="仿宋" w:eastAsia="仿宋" w:hAnsi="仿宋"/>
          <w:b/>
          <w:sz w:val="28"/>
          <w:szCs w:val="28"/>
        </w:rPr>
      </w:pPr>
      <w:r>
        <w:rPr>
          <w:rFonts w:ascii="仿宋" w:eastAsia="仿宋" w:hAnsi="仿宋" w:hint="eastAsia"/>
          <w:b/>
          <w:sz w:val="28"/>
          <w:szCs w:val="28"/>
        </w:rPr>
        <w:t>附件1</w:t>
      </w:r>
    </w:p>
    <w:p w14:paraId="2C584801" w14:textId="77777777" w:rsidR="00F92B2D" w:rsidRDefault="003F43D1">
      <w:pPr>
        <w:pStyle w:val="a9"/>
        <w:spacing w:before="0" w:beforeAutospacing="0" w:after="0" w:afterAutospacing="0" w:line="360" w:lineRule="exact"/>
        <w:jc w:val="center"/>
        <w:outlineLvl w:val="1"/>
        <w:rPr>
          <w:b/>
          <w:sz w:val="32"/>
          <w:szCs w:val="32"/>
        </w:rPr>
      </w:pPr>
      <w:bookmarkStart w:id="0" w:name="_Toc15391363"/>
      <w:bookmarkStart w:id="1" w:name="_Toc513733303"/>
      <w:bookmarkStart w:id="2" w:name="_Toc15390296"/>
      <w:r>
        <w:rPr>
          <w:rFonts w:hint="eastAsia"/>
          <w:b/>
          <w:sz w:val="32"/>
          <w:szCs w:val="32"/>
        </w:rPr>
        <w:t>四川轻化工大学转专业实施细则</w:t>
      </w:r>
      <w:bookmarkEnd w:id="0"/>
      <w:bookmarkEnd w:id="1"/>
      <w:bookmarkEnd w:id="2"/>
    </w:p>
    <w:p w14:paraId="51CF1C70" w14:textId="77777777" w:rsidR="00F92B2D" w:rsidRDefault="00F92B2D">
      <w:pPr>
        <w:pStyle w:val="a5"/>
        <w:adjustRightInd w:val="0"/>
        <w:spacing w:line="360" w:lineRule="exact"/>
        <w:rPr>
          <w:rFonts w:ascii="宋体" w:hAnsi="宋体"/>
          <w:b/>
          <w:bCs/>
          <w:sz w:val="21"/>
          <w:szCs w:val="21"/>
        </w:rPr>
      </w:pPr>
    </w:p>
    <w:p w14:paraId="1182D8DF"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为坚持“学生中心”的大学教育观，本着有利于学生就业和学校专业结构调整的原则，根据《普通高等学校学生管理规定》（中华人民共和国教育部令第41号）的有关精神，结合我校教育教学实际，现对《四川轻化工大学转专业实施细则》进行了修订，现予公布。</w:t>
      </w:r>
    </w:p>
    <w:p w14:paraId="63C690DE" w14:textId="77777777" w:rsidR="00F92B2D" w:rsidRDefault="003F43D1">
      <w:pPr>
        <w:pStyle w:val="a5"/>
        <w:adjustRightInd w:val="0"/>
        <w:spacing w:line="360" w:lineRule="exact"/>
        <w:ind w:firstLineChars="200" w:firstLine="562"/>
        <w:rPr>
          <w:rFonts w:ascii="仿宋" w:eastAsia="仿宋" w:hAnsi="仿宋" w:cstheme="minorBidi"/>
          <w:b/>
          <w:kern w:val="0"/>
          <w:sz w:val="28"/>
          <w:szCs w:val="28"/>
        </w:rPr>
      </w:pPr>
      <w:r>
        <w:rPr>
          <w:rFonts w:ascii="仿宋" w:eastAsia="仿宋" w:hAnsi="仿宋" w:cstheme="minorBidi" w:hint="eastAsia"/>
          <w:b/>
          <w:kern w:val="0"/>
          <w:sz w:val="28"/>
          <w:szCs w:val="28"/>
        </w:rPr>
        <w:t>一、基本原则</w:t>
      </w:r>
    </w:p>
    <w:p w14:paraId="53B074C8"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（一）学生一般应在被录取专业完成学业</w:t>
      </w:r>
    </w:p>
    <w:p w14:paraId="337CF838"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（二）转专业学生的选拔应坚持公平、公开、公正原则</w:t>
      </w:r>
    </w:p>
    <w:p w14:paraId="5C4B54D5" w14:textId="77777777" w:rsidR="00F92B2D" w:rsidRDefault="003F43D1">
      <w:pPr>
        <w:spacing w:line="360" w:lineRule="exact"/>
        <w:ind w:firstLineChars="200" w:firstLine="560"/>
        <w:rPr>
          <w:rFonts w:ascii="仿宋" w:eastAsia="仿宋" w:hAnsi="仿宋"/>
          <w:sz w:val="28"/>
          <w:szCs w:val="28"/>
        </w:rPr>
      </w:pPr>
      <w:r>
        <w:rPr>
          <w:rFonts w:ascii="仿宋" w:eastAsia="仿宋" w:hAnsi="仿宋" w:hint="eastAsia"/>
          <w:sz w:val="28"/>
          <w:szCs w:val="28"/>
        </w:rPr>
        <w:t>（三）尊重学生个性发展与兼顾教学资源原则</w:t>
      </w:r>
    </w:p>
    <w:p w14:paraId="51025D13" w14:textId="77777777" w:rsidR="00F92B2D" w:rsidRDefault="003F43D1">
      <w:pPr>
        <w:spacing w:line="360" w:lineRule="exact"/>
        <w:ind w:firstLineChars="200" w:firstLine="560"/>
        <w:rPr>
          <w:rFonts w:ascii="仿宋" w:eastAsia="仿宋" w:hAnsi="仿宋"/>
          <w:sz w:val="28"/>
          <w:szCs w:val="28"/>
        </w:rPr>
      </w:pPr>
      <w:r>
        <w:rPr>
          <w:rFonts w:ascii="仿宋" w:eastAsia="仿宋" w:hAnsi="仿宋" w:hint="eastAsia"/>
          <w:sz w:val="28"/>
          <w:szCs w:val="28"/>
        </w:rPr>
        <w:t xml:space="preserve">1.尊重学生个性发展，以满足学生对专业选择的需求； </w:t>
      </w:r>
    </w:p>
    <w:p w14:paraId="62B978BE" w14:textId="77777777" w:rsidR="00F92B2D" w:rsidRDefault="003F43D1">
      <w:pPr>
        <w:spacing w:line="360" w:lineRule="exact"/>
        <w:ind w:firstLineChars="200" w:firstLine="560"/>
        <w:rPr>
          <w:rFonts w:ascii="仿宋" w:eastAsia="仿宋" w:hAnsi="仿宋"/>
          <w:sz w:val="28"/>
          <w:szCs w:val="28"/>
        </w:rPr>
      </w:pPr>
      <w:r>
        <w:rPr>
          <w:rFonts w:ascii="仿宋" w:eastAsia="仿宋" w:hAnsi="仿宋" w:hint="eastAsia"/>
          <w:sz w:val="28"/>
          <w:szCs w:val="28"/>
        </w:rPr>
        <w:t>2.根据社会发展与学校实际，各学院应依据各专业的师资力量和教学资源条件设施情况，合理确定各专业转入学生的人数。在各学院上报各专业可转入学生人数基础上学校可根据具体报名情况作适当调整。</w:t>
      </w:r>
    </w:p>
    <w:p w14:paraId="0059FEDF" w14:textId="77777777" w:rsidR="00F92B2D" w:rsidRDefault="003F43D1">
      <w:pPr>
        <w:spacing w:line="360" w:lineRule="exact"/>
        <w:ind w:firstLineChars="200" w:firstLine="560"/>
        <w:rPr>
          <w:rFonts w:ascii="仿宋" w:eastAsia="仿宋" w:hAnsi="仿宋"/>
          <w:sz w:val="28"/>
          <w:szCs w:val="28"/>
        </w:rPr>
      </w:pPr>
      <w:r>
        <w:rPr>
          <w:rFonts w:ascii="仿宋" w:eastAsia="仿宋" w:hAnsi="仿宋" w:hint="eastAsia"/>
          <w:sz w:val="28"/>
          <w:szCs w:val="28"/>
        </w:rPr>
        <w:t>（四）</w:t>
      </w:r>
      <w:proofErr w:type="gramStart"/>
      <w:r>
        <w:rPr>
          <w:rFonts w:ascii="仿宋" w:eastAsia="仿宋" w:hAnsi="仿宋" w:hint="eastAsia"/>
          <w:sz w:val="28"/>
          <w:szCs w:val="28"/>
        </w:rPr>
        <w:t>凸</w:t>
      </w:r>
      <w:proofErr w:type="gramEnd"/>
      <w:r>
        <w:rPr>
          <w:rFonts w:ascii="仿宋" w:eastAsia="仿宋" w:hAnsi="仿宋" w:hint="eastAsia"/>
          <w:sz w:val="28"/>
          <w:szCs w:val="28"/>
        </w:rPr>
        <w:t>显学院的办学主体地位，落实学院在办学中的责权利。各学院应根据各专业的具体情况，制定公布各专业转入学生的选拔条件和选拔方式，并报教务处备案。各学院自主组织实施转入学生选拔工作。</w:t>
      </w:r>
    </w:p>
    <w:p w14:paraId="17936F6E" w14:textId="77777777" w:rsidR="00F92B2D" w:rsidRDefault="003F43D1">
      <w:pPr>
        <w:pStyle w:val="a5"/>
        <w:adjustRightInd w:val="0"/>
        <w:spacing w:line="360" w:lineRule="exact"/>
        <w:ind w:firstLineChars="200" w:firstLine="562"/>
        <w:rPr>
          <w:rFonts w:ascii="仿宋" w:eastAsia="仿宋" w:hAnsi="仿宋" w:cstheme="minorBidi"/>
          <w:b/>
          <w:kern w:val="0"/>
          <w:sz w:val="28"/>
          <w:szCs w:val="28"/>
        </w:rPr>
      </w:pPr>
      <w:r>
        <w:rPr>
          <w:rFonts w:ascii="仿宋" w:eastAsia="仿宋" w:hAnsi="仿宋" w:cstheme="minorBidi" w:hint="eastAsia"/>
          <w:b/>
          <w:kern w:val="0"/>
          <w:sz w:val="28"/>
          <w:szCs w:val="28"/>
        </w:rPr>
        <w:t>二、基本条件</w:t>
      </w:r>
    </w:p>
    <w:p w14:paraId="0E268E35"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（一）有下列情况之一者，可以申请转专业</w:t>
      </w:r>
    </w:p>
    <w:p w14:paraId="782A2E6B"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1.学生确有专长，本人申请，经转入学院考核证实，转入该专业确能发挥其专长者；</w:t>
      </w:r>
    </w:p>
    <w:p w14:paraId="0543C6DA"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2.个别学生入学后，发现某种疾病或生理缺陷，经医务部门确诊不能在原专业学习，但尚可在本校其他专业学习者；</w:t>
      </w:r>
    </w:p>
    <w:p w14:paraId="1430482E"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3.经学校确认学生有某种特殊困难，不转专业则无法继续学习者；</w:t>
      </w:r>
    </w:p>
    <w:p w14:paraId="1B4DBBEB"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4.支持创新创业休学和参军退役的学生复学后转入相关专业学习；</w:t>
      </w:r>
    </w:p>
    <w:p w14:paraId="102EEA7C"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5.根据毕业分配制度的改革和社会对人才需求情况的发展变化，在学生自愿的情况下，学校可适当调整部分学生所学专业；</w:t>
      </w:r>
    </w:p>
    <w:p w14:paraId="72E64ECA"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（二）有下列情况之一者，不予考虑转专业</w:t>
      </w:r>
    </w:p>
    <w:p w14:paraId="0869A0FC"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1.新生入学不满一学期者；</w:t>
      </w:r>
    </w:p>
    <w:p w14:paraId="575191ED"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lastRenderedPageBreak/>
        <w:t>2.由低学历层次转为高学历层次者；</w:t>
      </w:r>
    </w:p>
    <w:p w14:paraId="6F581BA5"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3.大学三年级及以上者（除学校进行的专业调整外）；</w:t>
      </w:r>
    </w:p>
    <w:p w14:paraId="22296E06"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4.应作退学处理者；</w:t>
      </w:r>
    </w:p>
    <w:p w14:paraId="2A6E9101"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5.在校期间已经转过一次专业者；</w:t>
      </w:r>
    </w:p>
    <w:p w14:paraId="6EBDAF5F"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6.高考招生类型不同者；</w:t>
      </w:r>
    </w:p>
    <w:p w14:paraId="7DFDD1CF"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7.高考为文科类考生转入理工类专业者（文理兼收专业除外）。</w:t>
      </w:r>
    </w:p>
    <w:p w14:paraId="0D66ED9C"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8.特殊招生、国家规定或录取前有约定不能转专业者。</w:t>
      </w:r>
    </w:p>
    <w:p w14:paraId="40B63371" w14:textId="77777777" w:rsidR="00F92B2D" w:rsidRDefault="003F43D1">
      <w:pPr>
        <w:pStyle w:val="a5"/>
        <w:adjustRightInd w:val="0"/>
        <w:spacing w:line="360" w:lineRule="exact"/>
        <w:ind w:firstLineChars="200" w:firstLine="562"/>
        <w:rPr>
          <w:rFonts w:ascii="仿宋" w:eastAsia="仿宋" w:hAnsi="仿宋" w:cstheme="minorBidi"/>
          <w:b/>
          <w:kern w:val="0"/>
          <w:sz w:val="28"/>
          <w:szCs w:val="28"/>
        </w:rPr>
      </w:pPr>
      <w:r>
        <w:rPr>
          <w:rFonts w:ascii="仿宋" w:eastAsia="仿宋" w:hAnsi="仿宋" w:cstheme="minorBidi" w:hint="eastAsia"/>
          <w:b/>
          <w:kern w:val="0"/>
          <w:sz w:val="28"/>
          <w:szCs w:val="28"/>
        </w:rPr>
        <w:t>三、实施步骤</w:t>
      </w:r>
    </w:p>
    <w:p w14:paraId="28E0519D"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一）转专业工作每学年实施一次，本科在每学年第二学期进行选拔，第三学期进入转入专业学习；专科在每学年第一学期进行选拔，第二学期进入转入专业学习。学生提交申请，各学院实施选拔，教务处公示选拔结果，学校发文公布转专业学生名单。</w:t>
      </w:r>
    </w:p>
    <w:p w14:paraId="40A7CC87"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（二）各学院根据各专业的师资力量和条件设施情况，合理确定各专业可接收转入学生的人数，并制定各专业转入学生的选拔条件和选拔方式，报教务处审核备案。</w:t>
      </w:r>
    </w:p>
    <w:p w14:paraId="005E1E61"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（三）教务处审核后公布各学院各专业可接收转专业学生人数和各专业转入学生的选拔条件和选拔方式。拟转专业学生本人填写《四川轻化工大学转专业申请表》，</w:t>
      </w:r>
      <w:proofErr w:type="gramStart"/>
      <w:r>
        <w:rPr>
          <w:rFonts w:ascii="仿宋" w:eastAsia="仿宋" w:hAnsi="仿宋" w:cstheme="minorBidi" w:hint="eastAsia"/>
          <w:kern w:val="0"/>
          <w:sz w:val="28"/>
          <w:szCs w:val="28"/>
        </w:rPr>
        <w:t>交拟转入</w:t>
      </w:r>
      <w:proofErr w:type="gramEnd"/>
      <w:r>
        <w:rPr>
          <w:rFonts w:ascii="仿宋" w:eastAsia="仿宋" w:hAnsi="仿宋" w:cstheme="minorBidi" w:hint="eastAsia"/>
          <w:kern w:val="0"/>
          <w:sz w:val="28"/>
          <w:szCs w:val="28"/>
        </w:rPr>
        <w:t>学院学术办公室。</w:t>
      </w:r>
    </w:p>
    <w:p w14:paraId="35C01FB8"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（四）各转入学院汇总转专业的学生报名名单，报教务处（电子文档）审核备案，各转入学院组织选拔考核与录取。</w:t>
      </w:r>
    </w:p>
    <w:p w14:paraId="268D9D54"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（五）各转入学院在选拔考核基础上确定转专业学生拟录取名单，以文件形式报学校教务处，同时报拟录取名单电子文档。</w:t>
      </w:r>
    </w:p>
    <w:p w14:paraId="21D96C52"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（六）教务处对转入学院上报的拟录取名单进行审核并公示。</w:t>
      </w:r>
    </w:p>
    <w:p w14:paraId="2D1D403C"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（七）学校正式发文确认</w:t>
      </w:r>
      <w:proofErr w:type="gramStart"/>
      <w:r>
        <w:rPr>
          <w:rFonts w:ascii="仿宋" w:eastAsia="仿宋" w:hAnsi="仿宋" w:cstheme="minorBidi" w:hint="eastAsia"/>
          <w:kern w:val="0"/>
          <w:sz w:val="28"/>
          <w:szCs w:val="28"/>
        </w:rPr>
        <w:t>全校转专业</w:t>
      </w:r>
      <w:proofErr w:type="gramEnd"/>
      <w:r>
        <w:rPr>
          <w:rFonts w:ascii="仿宋" w:eastAsia="仿宋" w:hAnsi="仿宋" w:cstheme="minorBidi" w:hint="eastAsia"/>
          <w:kern w:val="0"/>
          <w:sz w:val="28"/>
          <w:szCs w:val="28"/>
        </w:rPr>
        <w:t>学生名单，发文确认后不得放弃转专业。</w:t>
      </w:r>
    </w:p>
    <w:p w14:paraId="56360B59" w14:textId="77777777" w:rsidR="00F92B2D" w:rsidRDefault="003F43D1">
      <w:pPr>
        <w:pStyle w:val="a5"/>
        <w:adjustRightInd w:val="0"/>
        <w:spacing w:line="360" w:lineRule="exact"/>
        <w:ind w:firstLineChars="200" w:firstLine="562"/>
        <w:rPr>
          <w:rFonts w:ascii="仿宋" w:eastAsia="仿宋" w:hAnsi="仿宋" w:cstheme="minorBidi"/>
          <w:b/>
          <w:kern w:val="0"/>
          <w:sz w:val="28"/>
          <w:szCs w:val="28"/>
        </w:rPr>
      </w:pPr>
      <w:r>
        <w:rPr>
          <w:rFonts w:ascii="仿宋" w:eastAsia="仿宋" w:hAnsi="仿宋" w:cstheme="minorBidi" w:hint="eastAsia"/>
          <w:b/>
          <w:kern w:val="0"/>
          <w:sz w:val="28"/>
          <w:szCs w:val="28"/>
        </w:rPr>
        <w:t>四、转专业后的学籍管理</w:t>
      </w:r>
    </w:p>
    <w:p w14:paraId="725E2F18"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（一）转出学院与转入学院要及时做好转专业学生学籍卡等材料的交接工作，保证转专业学生按时到转入专业所在学院学习。</w:t>
      </w:r>
    </w:p>
    <w:p w14:paraId="22419CCA"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（二）被批准转专业的学生，必须在新学期开学第一周及时到转入专业所在学院报到注册，并重新选课，必须学完转入专业培养方案规定的全部课程，修满转入专业培养方案规定的最低学分。</w:t>
      </w:r>
    </w:p>
    <w:p w14:paraId="4A28A89B"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（三）对转入专业已经开设但又未修读的课程，转专业学生以补修方式修读，并按规定缴纳相应学费。</w:t>
      </w:r>
    </w:p>
    <w:p w14:paraId="14D91721"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（四）转专业后对已取得学分按下列规定处理</w:t>
      </w:r>
    </w:p>
    <w:p w14:paraId="67591824"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1.课程名称与学分相同的必修课、选修课学分有效；</w:t>
      </w:r>
    </w:p>
    <w:p w14:paraId="5FFFFE09"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2.其他课程的学分，可作为素质教育核心选修课学分认定。</w:t>
      </w:r>
    </w:p>
    <w:p w14:paraId="7AC17AC1" w14:textId="77777777" w:rsidR="00F92B2D" w:rsidRDefault="003F43D1">
      <w:pPr>
        <w:pStyle w:val="a5"/>
        <w:adjustRightInd w:val="0"/>
        <w:spacing w:line="360" w:lineRule="exact"/>
        <w:ind w:firstLineChars="200" w:firstLine="560"/>
        <w:rPr>
          <w:rFonts w:ascii="仿宋" w:eastAsia="仿宋" w:hAnsi="仿宋" w:cstheme="minorBidi"/>
          <w:kern w:val="0"/>
          <w:sz w:val="28"/>
          <w:szCs w:val="28"/>
        </w:rPr>
      </w:pPr>
      <w:r>
        <w:rPr>
          <w:rFonts w:ascii="仿宋" w:eastAsia="仿宋" w:hAnsi="仿宋" w:cstheme="minorBidi" w:hint="eastAsia"/>
          <w:kern w:val="0"/>
          <w:sz w:val="28"/>
          <w:szCs w:val="28"/>
        </w:rPr>
        <w:t>五、本细则自公布之日起执行，由教务处负责解释。</w:t>
      </w:r>
    </w:p>
    <w:p w14:paraId="0E358DAF" w14:textId="5B48415F" w:rsidR="00673B1B" w:rsidRPr="00AC745F" w:rsidRDefault="00673B1B" w:rsidP="00F21264">
      <w:pPr>
        <w:pStyle w:val="1"/>
        <w:widowControl w:val="0"/>
        <w:adjustRightInd w:val="0"/>
        <w:spacing w:before="0" w:beforeAutospacing="0" w:after="0" w:afterAutospacing="0" w:line="360" w:lineRule="exact"/>
        <w:jc w:val="both"/>
        <w:rPr>
          <w:rFonts w:ascii="华文宋体" w:eastAsia="华文宋体" w:hAnsi="华文宋体" w:cs="Courier New"/>
          <w:b/>
        </w:rPr>
      </w:pPr>
    </w:p>
    <w:sectPr w:rsidR="00673B1B" w:rsidRPr="00AC745F" w:rsidSect="00F92B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E963" w14:textId="77777777" w:rsidR="00821786" w:rsidRDefault="00821786" w:rsidP="0021330C">
      <w:pPr>
        <w:spacing w:after="0"/>
      </w:pPr>
      <w:r>
        <w:separator/>
      </w:r>
    </w:p>
  </w:endnote>
  <w:endnote w:type="continuationSeparator" w:id="0">
    <w:p w14:paraId="2698BD5C" w14:textId="77777777" w:rsidR="00821786" w:rsidRDefault="00821786" w:rsidP="00213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9A769" w14:textId="77777777" w:rsidR="00821786" w:rsidRDefault="00821786" w:rsidP="0021330C">
      <w:pPr>
        <w:spacing w:after="0"/>
      </w:pPr>
      <w:r>
        <w:separator/>
      </w:r>
    </w:p>
  </w:footnote>
  <w:footnote w:type="continuationSeparator" w:id="0">
    <w:p w14:paraId="16370E2E" w14:textId="77777777" w:rsidR="00821786" w:rsidRDefault="00821786" w:rsidP="002133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13C6F"/>
    <w:rsid w:val="00014BEF"/>
    <w:rsid w:val="00032F5D"/>
    <w:rsid w:val="0004272B"/>
    <w:rsid w:val="00055964"/>
    <w:rsid w:val="000645BB"/>
    <w:rsid w:val="00070194"/>
    <w:rsid w:val="0008411F"/>
    <w:rsid w:val="000B784C"/>
    <w:rsid w:val="000C427B"/>
    <w:rsid w:val="000D4110"/>
    <w:rsid w:val="000E7F91"/>
    <w:rsid w:val="00103DE5"/>
    <w:rsid w:val="00112061"/>
    <w:rsid w:val="001315E9"/>
    <w:rsid w:val="00167DD6"/>
    <w:rsid w:val="001855EF"/>
    <w:rsid w:val="001B0411"/>
    <w:rsid w:val="001F31CA"/>
    <w:rsid w:val="001F3DCC"/>
    <w:rsid w:val="00200C72"/>
    <w:rsid w:val="0021330C"/>
    <w:rsid w:val="0022543F"/>
    <w:rsid w:val="00230F76"/>
    <w:rsid w:val="00241FC7"/>
    <w:rsid w:val="0024514D"/>
    <w:rsid w:val="00257617"/>
    <w:rsid w:val="002C255B"/>
    <w:rsid w:val="002F65EA"/>
    <w:rsid w:val="003201B2"/>
    <w:rsid w:val="00321869"/>
    <w:rsid w:val="00323B43"/>
    <w:rsid w:val="00325BDD"/>
    <w:rsid w:val="00331E45"/>
    <w:rsid w:val="00333ACF"/>
    <w:rsid w:val="00355FD6"/>
    <w:rsid w:val="00367CF7"/>
    <w:rsid w:val="0038149A"/>
    <w:rsid w:val="00395906"/>
    <w:rsid w:val="003C1806"/>
    <w:rsid w:val="003D37D8"/>
    <w:rsid w:val="003D6E66"/>
    <w:rsid w:val="003F43D1"/>
    <w:rsid w:val="00420E34"/>
    <w:rsid w:val="004224FE"/>
    <w:rsid w:val="00423F36"/>
    <w:rsid w:val="00426133"/>
    <w:rsid w:val="004358AB"/>
    <w:rsid w:val="00437D9B"/>
    <w:rsid w:val="00440BF5"/>
    <w:rsid w:val="00447BC6"/>
    <w:rsid w:val="0046279C"/>
    <w:rsid w:val="00472E83"/>
    <w:rsid w:val="00495964"/>
    <w:rsid w:val="004C091E"/>
    <w:rsid w:val="004C349B"/>
    <w:rsid w:val="004C5275"/>
    <w:rsid w:val="005000F0"/>
    <w:rsid w:val="00526C03"/>
    <w:rsid w:val="005445B4"/>
    <w:rsid w:val="005B68A0"/>
    <w:rsid w:val="00605717"/>
    <w:rsid w:val="00606328"/>
    <w:rsid w:val="00611C59"/>
    <w:rsid w:val="00617664"/>
    <w:rsid w:val="00632AC0"/>
    <w:rsid w:val="00653C09"/>
    <w:rsid w:val="0065551F"/>
    <w:rsid w:val="00673B1B"/>
    <w:rsid w:val="00680F3B"/>
    <w:rsid w:val="00681637"/>
    <w:rsid w:val="00690A57"/>
    <w:rsid w:val="0069194A"/>
    <w:rsid w:val="006E5BDB"/>
    <w:rsid w:val="006F1873"/>
    <w:rsid w:val="006F318E"/>
    <w:rsid w:val="00702EB7"/>
    <w:rsid w:val="0070319C"/>
    <w:rsid w:val="007201A8"/>
    <w:rsid w:val="007252A5"/>
    <w:rsid w:val="007454AE"/>
    <w:rsid w:val="00757992"/>
    <w:rsid w:val="00773D59"/>
    <w:rsid w:val="0077673F"/>
    <w:rsid w:val="007773B1"/>
    <w:rsid w:val="00791A31"/>
    <w:rsid w:val="0079243A"/>
    <w:rsid w:val="007A4705"/>
    <w:rsid w:val="007B22DF"/>
    <w:rsid w:val="007F57DE"/>
    <w:rsid w:val="00806DE5"/>
    <w:rsid w:val="008137E1"/>
    <w:rsid w:val="00821786"/>
    <w:rsid w:val="00822F60"/>
    <w:rsid w:val="00852A47"/>
    <w:rsid w:val="00863961"/>
    <w:rsid w:val="00877906"/>
    <w:rsid w:val="00883DBE"/>
    <w:rsid w:val="00885CB5"/>
    <w:rsid w:val="008912E1"/>
    <w:rsid w:val="008A6839"/>
    <w:rsid w:val="008B7388"/>
    <w:rsid w:val="008B7726"/>
    <w:rsid w:val="008D4709"/>
    <w:rsid w:val="008E4549"/>
    <w:rsid w:val="008F5423"/>
    <w:rsid w:val="008F73FA"/>
    <w:rsid w:val="009239D9"/>
    <w:rsid w:val="00966902"/>
    <w:rsid w:val="00972F26"/>
    <w:rsid w:val="00996ACE"/>
    <w:rsid w:val="00997FE5"/>
    <w:rsid w:val="009A0D62"/>
    <w:rsid w:val="009E56D5"/>
    <w:rsid w:val="009F2797"/>
    <w:rsid w:val="00A169FF"/>
    <w:rsid w:val="00A428D2"/>
    <w:rsid w:val="00A62E06"/>
    <w:rsid w:val="00A87BF5"/>
    <w:rsid w:val="00AA4CEA"/>
    <w:rsid w:val="00AC0AFE"/>
    <w:rsid w:val="00AC168A"/>
    <w:rsid w:val="00AC745F"/>
    <w:rsid w:val="00AF11EC"/>
    <w:rsid w:val="00B069C3"/>
    <w:rsid w:val="00B33089"/>
    <w:rsid w:val="00B41776"/>
    <w:rsid w:val="00B4181F"/>
    <w:rsid w:val="00B530E3"/>
    <w:rsid w:val="00B768DA"/>
    <w:rsid w:val="00B92AE6"/>
    <w:rsid w:val="00B95162"/>
    <w:rsid w:val="00B9752B"/>
    <w:rsid w:val="00BB0414"/>
    <w:rsid w:val="00C204E0"/>
    <w:rsid w:val="00C33C71"/>
    <w:rsid w:val="00C458F9"/>
    <w:rsid w:val="00C6619B"/>
    <w:rsid w:val="00C76CEA"/>
    <w:rsid w:val="00C80070"/>
    <w:rsid w:val="00C92048"/>
    <w:rsid w:val="00C93C02"/>
    <w:rsid w:val="00C967E6"/>
    <w:rsid w:val="00CF32C8"/>
    <w:rsid w:val="00D0415F"/>
    <w:rsid w:val="00D31D50"/>
    <w:rsid w:val="00D52E01"/>
    <w:rsid w:val="00DB5820"/>
    <w:rsid w:val="00DD3FEC"/>
    <w:rsid w:val="00DF4351"/>
    <w:rsid w:val="00E3366C"/>
    <w:rsid w:val="00E44B28"/>
    <w:rsid w:val="00E71D4F"/>
    <w:rsid w:val="00EE5567"/>
    <w:rsid w:val="00F020EA"/>
    <w:rsid w:val="00F21264"/>
    <w:rsid w:val="00F546C5"/>
    <w:rsid w:val="00F92899"/>
    <w:rsid w:val="00F92B2D"/>
    <w:rsid w:val="00FC4560"/>
    <w:rsid w:val="00FC729D"/>
    <w:rsid w:val="00FD4C5F"/>
    <w:rsid w:val="00FE4080"/>
    <w:rsid w:val="00FF327E"/>
    <w:rsid w:val="531C2AD1"/>
    <w:rsid w:val="6DD63891"/>
    <w:rsid w:val="6DFD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8BCE1"/>
  <w15:docId w15:val="{00B45548-CE75-4765-BD92-0DD2C699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B2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2B2D"/>
    <w:pPr>
      <w:ind w:leftChars="2500" w:left="100"/>
    </w:pPr>
  </w:style>
  <w:style w:type="paragraph" w:styleId="a5">
    <w:name w:val="footer"/>
    <w:basedOn w:val="a"/>
    <w:link w:val="a6"/>
    <w:qFormat/>
    <w:rsid w:val="00F92B2D"/>
    <w:pPr>
      <w:widowControl w:val="0"/>
      <w:tabs>
        <w:tab w:val="center" w:pos="4153"/>
        <w:tab w:val="right" w:pos="8306"/>
      </w:tabs>
      <w:adjustRightInd/>
      <w:spacing w:after="0"/>
    </w:pPr>
    <w:rPr>
      <w:rFonts w:ascii="Times New Roman" w:eastAsia="宋体" w:hAnsi="Times New Roman" w:cs="Times New Roman"/>
      <w:kern w:val="2"/>
      <w:sz w:val="18"/>
      <w:szCs w:val="18"/>
    </w:rPr>
  </w:style>
  <w:style w:type="paragraph" w:styleId="a7">
    <w:name w:val="header"/>
    <w:basedOn w:val="a"/>
    <w:link w:val="a8"/>
    <w:uiPriority w:val="99"/>
    <w:unhideWhenUsed/>
    <w:qFormat/>
    <w:rsid w:val="00F92B2D"/>
    <w:pPr>
      <w:pBdr>
        <w:bottom w:val="single" w:sz="6" w:space="1" w:color="auto"/>
      </w:pBdr>
      <w:tabs>
        <w:tab w:val="center" w:pos="4153"/>
        <w:tab w:val="right" w:pos="8306"/>
      </w:tabs>
      <w:jc w:val="center"/>
    </w:pPr>
    <w:rPr>
      <w:sz w:val="18"/>
      <w:szCs w:val="18"/>
    </w:rPr>
  </w:style>
  <w:style w:type="paragraph" w:styleId="a9">
    <w:name w:val="Normal (Web)"/>
    <w:basedOn w:val="a"/>
    <w:uiPriority w:val="99"/>
    <w:qFormat/>
    <w:rsid w:val="00F92B2D"/>
    <w:pPr>
      <w:adjustRightInd/>
      <w:snapToGrid/>
      <w:spacing w:before="100" w:beforeAutospacing="1" w:after="100" w:afterAutospacing="1"/>
    </w:pPr>
    <w:rPr>
      <w:rFonts w:ascii="宋体" w:eastAsia="宋体" w:hAnsi="宋体" w:cs="宋体"/>
      <w:sz w:val="24"/>
      <w:szCs w:val="24"/>
    </w:rPr>
  </w:style>
  <w:style w:type="table" w:styleId="aa">
    <w:name w:val="Table Grid"/>
    <w:basedOn w:val="a1"/>
    <w:uiPriority w:val="59"/>
    <w:unhideWhenUsed/>
    <w:qFormat/>
    <w:rsid w:val="00F9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2B2D"/>
    <w:pPr>
      <w:ind w:firstLineChars="200" w:firstLine="420"/>
    </w:pPr>
  </w:style>
  <w:style w:type="character" w:customStyle="1" w:styleId="a6">
    <w:name w:val="页脚 字符"/>
    <w:basedOn w:val="a0"/>
    <w:link w:val="a5"/>
    <w:qFormat/>
    <w:rsid w:val="00F92B2D"/>
    <w:rPr>
      <w:rFonts w:ascii="Times New Roman" w:eastAsia="宋体" w:hAnsi="Times New Roman" w:cs="Times New Roman"/>
      <w:kern w:val="2"/>
      <w:sz w:val="18"/>
      <w:szCs w:val="18"/>
    </w:rPr>
  </w:style>
  <w:style w:type="character" w:customStyle="1" w:styleId="a4">
    <w:name w:val="日期 字符"/>
    <w:basedOn w:val="a0"/>
    <w:link w:val="a3"/>
    <w:uiPriority w:val="99"/>
    <w:semiHidden/>
    <w:qFormat/>
    <w:rsid w:val="00F92B2D"/>
    <w:rPr>
      <w:rFonts w:ascii="Tahoma" w:hAnsi="Tahoma"/>
    </w:rPr>
  </w:style>
  <w:style w:type="character" w:customStyle="1" w:styleId="a8">
    <w:name w:val="页眉 字符"/>
    <w:basedOn w:val="a0"/>
    <w:link w:val="a7"/>
    <w:uiPriority w:val="99"/>
    <w:rsid w:val="00F92B2D"/>
    <w:rPr>
      <w:rFonts w:ascii="Tahoma" w:hAnsi="Tahoma"/>
      <w:sz w:val="18"/>
      <w:szCs w:val="18"/>
    </w:rPr>
  </w:style>
  <w:style w:type="paragraph" w:customStyle="1" w:styleId="1">
    <w:name w:val="日期1"/>
    <w:basedOn w:val="a"/>
    <w:qFormat/>
    <w:rsid w:val="00F92B2D"/>
    <w:pPr>
      <w:adjustRightInd/>
      <w:snapToGrid/>
      <w:spacing w:before="100" w:beforeAutospacing="1" w:after="100" w:afterAutospacing="1"/>
    </w:pPr>
    <w:rPr>
      <w:rFonts w:ascii="ˎ̥" w:eastAsia="宋体" w:hAnsi="ˎ̥" w:cs="宋体"/>
      <w:sz w:val="21"/>
      <w:szCs w:val="21"/>
    </w:rPr>
  </w:style>
  <w:style w:type="paragraph" w:styleId="ac">
    <w:name w:val="Balloon Text"/>
    <w:basedOn w:val="a"/>
    <w:link w:val="ad"/>
    <w:uiPriority w:val="99"/>
    <w:semiHidden/>
    <w:unhideWhenUsed/>
    <w:rsid w:val="002F65EA"/>
    <w:pPr>
      <w:spacing w:after="0"/>
    </w:pPr>
    <w:rPr>
      <w:sz w:val="18"/>
      <w:szCs w:val="18"/>
    </w:rPr>
  </w:style>
  <w:style w:type="character" w:customStyle="1" w:styleId="ad">
    <w:name w:val="批注框文本 字符"/>
    <w:basedOn w:val="a0"/>
    <w:link w:val="ac"/>
    <w:uiPriority w:val="99"/>
    <w:semiHidden/>
    <w:rsid w:val="002F65EA"/>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235</Words>
  <Characters>1343</Characters>
  <Application>Microsoft Office Word</Application>
  <DocSecurity>0</DocSecurity>
  <Lines>11</Lines>
  <Paragraphs>3</Paragraphs>
  <ScaleCrop>false</ScaleCrop>
  <Company>HP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98</cp:revision>
  <cp:lastPrinted>2020-12-24T07:45:00Z</cp:lastPrinted>
  <dcterms:created xsi:type="dcterms:W3CDTF">2020-07-10T01:12:00Z</dcterms:created>
  <dcterms:modified xsi:type="dcterms:W3CDTF">2020-12-29T04:45:00Z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